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5D8" w:rsidRPr="004923EF" w:rsidRDefault="002615D8" w:rsidP="002615D8">
      <w:pPr>
        <w:keepNext/>
        <w:spacing w:before="240" w:after="60"/>
        <w:ind w:firstLine="0"/>
        <w:outlineLvl w:val="1"/>
        <w:rPr>
          <w:rFonts w:eastAsia="Times New Roman"/>
          <w:b/>
          <w:bCs/>
          <w:noProof/>
          <w:color w:val="FF0000"/>
          <w:sz w:val="28"/>
          <w:szCs w:val="28"/>
          <w:lang w:eastAsia="tr-TR"/>
        </w:rPr>
      </w:pPr>
      <w:r w:rsidRPr="004923EF">
        <w:rPr>
          <w:rFonts w:eastAsia="Times New Roman"/>
          <w:b/>
          <w:bCs/>
          <w:noProof/>
          <w:color w:val="FF0000"/>
          <w:sz w:val="28"/>
          <w:szCs w:val="28"/>
          <w:lang w:eastAsia="tr-TR"/>
        </w:rPr>
        <w:t>İTFAİYE MÜDÜRLÜĞÜ</w:t>
      </w:r>
    </w:p>
    <w:p w:rsidR="002615D8" w:rsidRPr="004923EF" w:rsidRDefault="002615D8" w:rsidP="002615D8">
      <w:pPr>
        <w:spacing w:before="0" w:after="0"/>
        <w:ind w:left="357" w:firstLine="0"/>
        <w:rPr>
          <w:rFonts w:ascii="Book Antiqua" w:hAnsi="Book Antiqua"/>
          <w:b/>
          <w:sz w:val="20"/>
          <w:szCs w:val="20"/>
        </w:rPr>
      </w:pPr>
      <w:r w:rsidRPr="004923EF">
        <w:rPr>
          <w:rFonts w:ascii="Book Antiqua" w:hAnsi="Book Antiqua"/>
          <w:b/>
          <w:sz w:val="20"/>
          <w:szCs w:val="20"/>
        </w:rPr>
        <w:t>Kodlar:</w:t>
      </w:r>
      <w:r w:rsidRPr="004923EF">
        <w:rPr>
          <w:rFonts w:ascii="Book Antiqua" w:hAnsi="Book Antiqua"/>
          <w:b/>
          <w:sz w:val="20"/>
          <w:szCs w:val="20"/>
        </w:rPr>
        <w:tab/>
      </w:r>
    </w:p>
    <w:p w:rsidR="002615D8" w:rsidRPr="004923EF" w:rsidRDefault="002615D8" w:rsidP="002615D8">
      <w:pPr>
        <w:spacing w:before="0" w:after="0"/>
        <w:ind w:left="357" w:firstLine="351"/>
        <w:rPr>
          <w:rFonts w:ascii="Book Antiqua" w:hAnsi="Book Antiqua"/>
          <w:b/>
          <w:sz w:val="20"/>
          <w:szCs w:val="20"/>
        </w:rPr>
      </w:pPr>
      <w:r w:rsidRPr="004923EF">
        <w:rPr>
          <w:rFonts w:ascii="Book Antiqua" w:hAnsi="Book Antiqua"/>
          <w:b/>
          <w:sz w:val="20"/>
          <w:szCs w:val="20"/>
        </w:rPr>
        <w:t>A= %80-%100 arası gerçekleşme veya çok başarılı.</w:t>
      </w:r>
    </w:p>
    <w:p w:rsidR="002615D8" w:rsidRPr="004923EF" w:rsidRDefault="002615D8" w:rsidP="002615D8">
      <w:pPr>
        <w:spacing w:before="0" w:after="0"/>
        <w:ind w:left="357" w:firstLine="351"/>
        <w:rPr>
          <w:rFonts w:ascii="Book Antiqua" w:hAnsi="Book Antiqua"/>
          <w:b/>
          <w:sz w:val="20"/>
          <w:szCs w:val="20"/>
        </w:rPr>
      </w:pPr>
      <w:r w:rsidRPr="004923EF">
        <w:rPr>
          <w:rFonts w:ascii="Book Antiqua" w:hAnsi="Book Antiqua"/>
          <w:b/>
          <w:sz w:val="20"/>
          <w:szCs w:val="20"/>
        </w:rPr>
        <w:t>B= %60-%79 arası gerçekleşme veya başarılı.</w:t>
      </w:r>
    </w:p>
    <w:p w:rsidR="002615D8" w:rsidRPr="004923EF" w:rsidRDefault="002615D8" w:rsidP="002615D8">
      <w:pPr>
        <w:spacing w:before="0" w:after="0"/>
        <w:ind w:left="357" w:firstLine="351"/>
        <w:rPr>
          <w:rFonts w:ascii="Book Antiqua" w:hAnsi="Book Antiqua"/>
          <w:b/>
          <w:sz w:val="20"/>
          <w:szCs w:val="20"/>
        </w:rPr>
      </w:pPr>
      <w:r w:rsidRPr="004923EF">
        <w:rPr>
          <w:rFonts w:ascii="Book Antiqua" w:hAnsi="Book Antiqua"/>
          <w:b/>
          <w:sz w:val="20"/>
          <w:szCs w:val="20"/>
        </w:rPr>
        <w:t>C= %40-%59 arası gerçekleşme veya orta derecede başarılı.</w:t>
      </w:r>
    </w:p>
    <w:p w:rsidR="002615D8" w:rsidRPr="004923EF" w:rsidRDefault="002615D8" w:rsidP="002615D8">
      <w:pPr>
        <w:spacing w:before="0" w:after="0"/>
        <w:ind w:left="357" w:firstLine="351"/>
        <w:rPr>
          <w:rFonts w:ascii="Book Antiqua" w:hAnsi="Book Antiqua"/>
          <w:b/>
          <w:sz w:val="20"/>
          <w:szCs w:val="20"/>
        </w:rPr>
      </w:pPr>
      <w:r w:rsidRPr="004923EF">
        <w:rPr>
          <w:rFonts w:ascii="Book Antiqua" w:hAnsi="Book Antiqua"/>
          <w:b/>
          <w:sz w:val="20"/>
          <w:szCs w:val="20"/>
        </w:rPr>
        <w:t>D= %20-%39 arası gerçekleşme veya düşük başarı.</w:t>
      </w:r>
    </w:p>
    <w:p w:rsidR="002615D8" w:rsidRPr="004923EF" w:rsidRDefault="002615D8" w:rsidP="002615D8">
      <w:pPr>
        <w:spacing w:before="0" w:after="0"/>
        <w:ind w:left="357" w:firstLine="351"/>
        <w:rPr>
          <w:rFonts w:ascii="Book Antiqua" w:hAnsi="Book Antiqua"/>
          <w:b/>
        </w:rPr>
      </w:pPr>
      <w:r w:rsidRPr="004923EF">
        <w:rPr>
          <w:rFonts w:ascii="Book Antiqua" w:hAnsi="Book Antiqua"/>
          <w:b/>
          <w:sz w:val="20"/>
          <w:szCs w:val="20"/>
        </w:rPr>
        <w:t>E= %19’dan az gerçekleşme veya zayıf</w:t>
      </w:r>
      <w:r w:rsidRPr="004923EF">
        <w:rPr>
          <w:rFonts w:ascii="Book Antiqua" w:hAnsi="Book Antiqua"/>
          <w:b/>
        </w:rPr>
        <w:t>.</w:t>
      </w:r>
      <w:r w:rsidRPr="004923EF">
        <w:rPr>
          <w:rFonts w:eastAsia="Times New Roman"/>
          <w:b/>
          <w:noProof/>
          <w:lang w:eastAsia="tr-TR"/>
        </w:rPr>
        <w:t xml:space="preserve">                                                                                                          </w:t>
      </w:r>
    </w:p>
    <w:p w:rsidR="002615D8" w:rsidRPr="004923EF" w:rsidRDefault="002615D8" w:rsidP="002615D8">
      <w:pPr>
        <w:spacing w:before="0" w:after="0"/>
        <w:ind w:firstLine="0"/>
        <w:jc w:val="left"/>
        <w:rPr>
          <w:rFonts w:eastAsia="Times New Roman"/>
          <w:noProof/>
          <w:lang w:val="de-DE" w:eastAsia="tr-TR"/>
        </w:rPr>
      </w:pPr>
    </w:p>
    <w:p w:rsidR="002615D8" w:rsidRPr="004923EF" w:rsidRDefault="002615D8" w:rsidP="002615D8">
      <w:pPr>
        <w:spacing w:before="0" w:after="0"/>
        <w:ind w:firstLine="0"/>
        <w:jc w:val="left"/>
        <w:rPr>
          <w:rFonts w:eastAsia="Times New Roman"/>
          <w:b/>
          <w:noProof/>
          <w:color w:val="FF0000"/>
          <w:lang w:val="en-US" w:eastAsia="tr-TR"/>
        </w:rPr>
      </w:pPr>
      <w:r w:rsidRPr="004923EF">
        <w:rPr>
          <w:rFonts w:eastAsia="Times New Roman"/>
          <w:b/>
          <w:noProof/>
          <w:color w:val="FF0000"/>
          <w:lang w:eastAsia="tr-TR"/>
        </w:rPr>
        <w:t xml:space="preserve">2. Yıl </w:t>
      </w:r>
    </w:p>
    <w:tbl>
      <w:tblPr>
        <w:tblW w:w="9692"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CellMar>
          <w:left w:w="70" w:type="dxa"/>
          <w:right w:w="70" w:type="dxa"/>
        </w:tblCellMar>
        <w:tblLook w:val="0000" w:firstRow="0" w:lastRow="0" w:firstColumn="0" w:lastColumn="0" w:noHBand="0" w:noVBand="0"/>
      </w:tblPr>
      <w:tblGrid>
        <w:gridCol w:w="4390"/>
        <w:gridCol w:w="1689"/>
        <w:gridCol w:w="3613"/>
      </w:tblGrid>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b/>
                <w:color w:val="FF0000"/>
                <w:sz w:val="20"/>
                <w:szCs w:val="20"/>
              </w:rPr>
            </w:pPr>
            <w:r w:rsidRPr="00F3771C">
              <w:rPr>
                <w:b/>
                <w:color w:val="FF0000"/>
                <w:sz w:val="20"/>
                <w:szCs w:val="20"/>
              </w:rPr>
              <w:t>Stratejik Öncelikler</w:t>
            </w:r>
          </w:p>
          <w:p w:rsidR="002615D8" w:rsidRPr="00F3771C" w:rsidRDefault="002615D8" w:rsidP="002F056C">
            <w:pPr>
              <w:spacing w:before="0" w:after="0"/>
              <w:ind w:firstLine="0"/>
              <w:jc w:val="center"/>
              <w:rPr>
                <w:b/>
                <w:color w:val="FF0000"/>
                <w:sz w:val="20"/>
                <w:szCs w:val="20"/>
              </w:rPr>
            </w:pPr>
            <w:r w:rsidRPr="00F3771C">
              <w:rPr>
                <w:b/>
                <w:color w:val="FF0000"/>
                <w:sz w:val="20"/>
                <w:szCs w:val="20"/>
              </w:rPr>
              <w:t>(Faaliyet ve Projeler)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b/>
                <w:color w:val="FF0000"/>
                <w:sz w:val="20"/>
                <w:szCs w:val="20"/>
              </w:rPr>
            </w:pPr>
            <w:r w:rsidRPr="00F3771C">
              <w:rPr>
                <w:b/>
                <w:color w:val="FF0000"/>
                <w:sz w:val="20"/>
                <w:szCs w:val="20"/>
              </w:rPr>
              <w:t>Hedef Değerler</w:t>
            </w:r>
          </w:p>
        </w:tc>
        <w:tc>
          <w:tcPr>
            <w:tcW w:w="3613"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b/>
                <w:color w:val="FF0000"/>
                <w:sz w:val="20"/>
                <w:szCs w:val="20"/>
              </w:rPr>
            </w:pPr>
            <w:r w:rsidRPr="00F3771C">
              <w:rPr>
                <w:b/>
                <w:color w:val="FF0000"/>
                <w:sz w:val="20"/>
                <w:szCs w:val="20"/>
              </w:rPr>
              <w:t>Dönem Sonu Gerçekleşme Oranı</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Şehrimizin cadde, sokak ve tretuvar üzerinde bulunan yer altı ve yerüstü yangın hidrantlarıın bulundukları yerler yılda 2 sefer gezilmek suretiyle yerleri personele öğretilip tatbiki çalışmalar sağlanacaktır. </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Yılda 2 kez</w:t>
            </w:r>
          </w:p>
        </w:tc>
        <w:tc>
          <w:tcPr>
            <w:tcW w:w="3613"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Arızalı olan yangın hidrantlarının tamiri için, Su ve Kanalizasyon İşleri Müdürlüğü ile koordinasyon sağlanarak hidrantların mutat olarak tamiratı ve bakımı sağlanacaktır.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Yangınlara ait istatistiki çizelgenin düzenlenerek her ay Valiliğe, yıl sonu itibarı ile İl Afet ve Acil Durum Müdürlüğüne  gönderilecektir.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Yangınlara karşı alınan ve alınacak önlemler  konusunda tüm bina ve işyerlerinin gereken denetimleri yılda bir kez  yapılacaktır.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Yılda 1 kez</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İtfaiye personeline yıllık ortalama 80 saat hizmet içi eğitim vermek ve verilmesini sağlamak.</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80 saat</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698"/>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Yangın konusunda Çankırı İli Okullarında  nazari ve tatbiki eğitimler yapılacak.</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bCs/>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0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Yeni açılacak olan işyerlerinin yangınlara karşı alınan güvenlik önlemleri konusunda incelemeleri yapılarak işyeri açma yangın raporu tanzim edilecektir.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54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Belediye Meclisince belirlenen rusum tarifesine göre Şehirde bulunan Soba ve Kalorifer bacalarının temizlenmesi işleri yürütülecektir.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w:t>
            </w:r>
            <w:r w:rsidRPr="007F2017">
              <w:rPr>
                <w:rFonts w:eastAsia="Times New Roman"/>
                <w:b/>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36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İtfaiye haftasında; Halkı yangınlara karşı alınacak önlemler konusunda aydınlatmak ve bilinçlendirmek amacıyla, Buroşürler bastırılarak, Şehrin muhtelif yerlerine pankartlar asılacaktır. Ayrıca yerel basın yayın ve iletişim araçları aracılığı ile halk bigilendirilecektir. Milli Eğitim Müdürlüğü ile işbirliği içerisinde her yıl bir okulda yangın-kurtarma tatbikatı düzenlenmesi sağlanacaktır.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150"/>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Yeni yapılan binalarda iskan aşamasında yangınlara karşı alınan güvenlik önlemleri konusunda incelemeler yapılarak bina yangın iskan raporu tanzim edilecektir.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r w:rsidR="002615D8" w:rsidRPr="00F3771C" w:rsidTr="002F056C">
        <w:trPr>
          <w:trHeight w:val="345"/>
        </w:trPr>
        <w:tc>
          <w:tcPr>
            <w:tcW w:w="4390"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rPr>
                <w:rFonts w:eastAsia="Times New Roman"/>
                <w:noProof/>
                <w:sz w:val="20"/>
                <w:szCs w:val="20"/>
              </w:rPr>
            </w:pPr>
            <w:r w:rsidRPr="00F3771C">
              <w:rPr>
                <w:rFonts w:eastAsia="Times New Roman"/>
                <w:noProof/>
                <w:sz w:val="20"/>
                <w:szCs w:val="20"/>
              </w:rPr>
              <w:t xml:space="preserve">     Resmi yazı ile müracat eden tüm kamu kurum ve kuruluşları ile özel kurumlara Yangın eğitimi verilecek, nazari ve tatbiki eğitimleri yaptırılacaktır.</w:t>
            </w:r>
          </w:p>
        </w:tc>
        <w:tc>
          <w:tcPr>
            <w:tcW w:w="1689" w:type="dxa"/>
            <w:tcBorders>
              <w:top w:val="single" w:sz="4" w:space="0" w:color="auto"/>
              <w:left w:val="single" w:sz="4" w:space="0" w:color="auto"/>
              <w:bottom w:val="single" w:sz="4" w:space="0" w:color="auto"/>
              <w:right w:val="single" w:sz="4" w:space="0" w:color="auto"/>
            </w:tcBorders>
            <w:shd w:val="clear" w:color="auto" w:fill="F2DBDB"/>
            <w:vAlign w:val="center"/>
          </w:tcPr>
          <w:p w:rsidR="002615D8" w:rsidRPr="00F3771C" w:rsidRDefault="002615D8" w:rsidP="002F056C">
            <w:pPr>
              <w:spacing w:before="0" w:after="0"/>
              <w:ind w:firstLine="0"/>
              <w:jc w:val="center"/>
              <w:rPr>
                <w:sz w:val="20"/>
                <w:szCs w:val="20"/>
              </w:rPr>
            </w:pPr>
            <w:r w:rsidRPr="00F3771C">
              <w:rPr>
                <w:sz w:val="20"/>
                <w:szCs w:val="20"/>
              </w:rPr>
              <w:t>%100</w:t>
            </w:r>
          </w:p>
        </w:tc>
        <w:tc>
          <w:tcPr>
            <w:tcW w:w="3613" w:type="dxa"/>
            <w:tcBorders>
              <w:top w:val="single" w:sz="4" w:space="0" w:color="auto"/>
              <w:left w:val="single" w:sz="4" w:space="0" w:color="auto"/>
              <w:bottom w:val="single" w:sz="4" w:space="0" w:color="auto"/>
              <w:right w:val="single" w:sz="4" w:space="0" w:color="auto"/>
            </w:tcBorders>
            <w:shd w:val="clear" w:color="auto" w:fill="F2DBDB"/>
          </w:tcPr>
          <w:p w:rsidR="002615D8" w:rsidRPr="00F3771C" w:rsidRDefault="002615D8" w:rsidP="002F056C">
            <w:pPr>
              <w:spacing w:before="0" w:after="0"/>
              <w:ind w:firstLine="0"/>
              <w:jc w:val="center"/>
              <w:rPr>
                <w:rFonts w:eastAsia="Times New Roman"/>
                <w:noProof/>
                <w:sz w:val="20"/>
                <w:szCs w:val="20"/>
              </w:rPr>
            </w:pPr>
          </w:p>
          <w:p w:rsidR="002615D8" w:rsidRPr="00F3771C" w:rsidRDefault="002615D8" w:rsidP="002F056C">
            <w:pPr>
              <w:spacing w:before="0" w:after="0"/>
              <w:ind w:firstLine="0"/>
              <w:jc w:val="center"/>
              <w:rPr>
                <w:rFonts w:eastAsia="Times New Roman"/>
                <w:noProof/>
                <w:sz w:val="20"/>
                <w:szCs w:val="20"/>
              </w:rPr>
            </w:pPr>
            <w:r w:rsidRPr="00F3771C">
              <w:rPr>
                <w:rFonts w:eastAsia="Times New Roman"/>
                <w:noProof/>
                <w:sz w:val="20"/>
                <w:szCs w:val="20"/>
              </w:rPr>
              <w:t xml:space="preserve">( </w:t>
            </w:r>
            <w:r w:rsidR="007F2017" w:rsidRPr="007F2017">
              <w:rPr>
                <w:rFonts w:eastAsia="Times New Roman"/>
                <w:b/>
                <w:noProof/>
                <w:sz w:val="20"/>
                <w:szCs w:val="20"/>
              </w:rPr>
              <w:t>X</w:t>
            </w:r>
            <w:r w:rsidRPr="00F3771C">
              <w:rPr>
                <w:rFonts w:eastAsia="Times New Roman"/>
                <w:noProof/>
                <w:sz w:val="20"/>
                <w:szCs w:val="20"/>
              </w:rPr>
              <w:t xml:space="preserve"> ) A    (  ) B   (  ) C   (  ) D  (  ) E</w:t>
            </w:r>
          </w:p>
        </w:tc>
      </w:tr>
    </w:tbl>
    <w:p w:rsidR="002615D8" w:rsidRPr="00F3771C" w:rsidRDefault="002615D8" w:rsidP="002615D8">
      <w:pPr>
        <w:spacing w:before="0" w:after="0"/>
        <w:ind w:firstLine="708"/>
        <w:jc w:val="left"/>
        <w:rPr>
          <w:noProof/>
          <w:sz w:val="20"/>
          <w:szCs w:val="20"/>
          <w:lang w:val="en-US"/>
        </w:rPr>
      </w:pPr>
    </w:p>
    <w:p w:rsidR="002A7327" w:rsidRPr="002A7327" w:rsidRDefault="002A7327" w:rsidP="002A7327">
      <w:pPr>
        <w:keepNext/>
        <w:spacing w:before="240" w:after="60"/>
        <w:ind w:firstLine="0"/>
        <w:jc w:val="center"/>
        <w:outlineLvl w:val="2"/>
        <w:rPr>
          <w:rFonts w:eastAsia="Times New Roman"/>
          <w:noProof/>
          <w:sz w:val="20"/>
          <w:szCs w:val="20"/>
          <w:lang w:eastAsia="tr-TR"/>
        </w:rPr>
      </w:pPr>
      <w:r w:rsidRPr="002A7327">
        <w:rPr>
          <w:rFonts w:eastAsia="Times New Roman"/>
          <w:noProof/>
          <w:sz w:val="20"/>
          <w:szCs w:val="20"/>
          <w:lang w:eastAsia="tr-TR"/>
        </w:rPr>
        <w:t>43</w:t>
      </w:r>
      <w:bookmarkStart w:id="0" w:name="_GoBack"/>
    </w:p>
    <w:bookmarkEnd w:id="0"/>
    <w:p w:rsidR="002615D8" w:rsidRPr="004923EF" w:rsidRDefault="002615D8" w:rsidP="002615D8">
      <w:pPr>
        <w:spacing w:before="0" w:after="0"/>
        <w:ind w:firstLine="0"/>
        <w:jc w:val="left"/>
        <w:rPr>
          <w:rFonts w:eastAsia="Times New Roman"/>
          <w:noProof/>
          <w:lang w:eastAsia="tr-TR"/>
        </w:rPr>
      </w:pPr>
    </w:p>
    <w:p w:rsidR="0035348D" w:rsidRDefault="0035348D"/>
    <w:sectPr w:rsidR="0035348D" w:rsidSect="002615D8">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840"/>
    <w:rsid w:val="002615D8"/>
    <w:rsid w:val="002A7327"/>
    <w:rsid w:val="0035348D"/>
    <w:rsid w:val="007F2017"/>
    <w:rsid w:val="00D758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5D8"/>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5D8"/>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dc:creator>
  <cp:keywords/>
  <dc:description/>
  <cp:lastModifiedBy>Osman</cp:lastModifiedBy>
  <cp:revision>6</cp:revision>
  <dcterms:created xsi:type="dcterms:W3CDTF">2021-01-04T12:16:00Z</dcterms:created>
  <dcterms:modified xsi:type="dcterms:W3CDTF">2021-01-20T07:58:00Z</dcterms:modified>
</cp:coreProperties>
</file>